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50" w:rsidRDefault="00C64950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C64950" w:rsidRDefault="00C64950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EA0108" w:rsidRP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  <w:r>
        <w:rPr>
          <w:rFonts w:ascii="Tahoma" w:eastAsia="Times New Roman" w:hAnsi="Tahoma" w:cs="Gautami"/>
          <w:noProof/>
        </w:rPr>
        <w:drawing>
          <wp:anchor distT="0" distB="0" distL="114300" distR="114300" simplePos="0" relativeHeight="251659264" behindDoc="1" locked="0" layoutInCell="1" allowOverlap="1" wp14:anchorId="0055236D" wp14:editId="5D3CBE93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Description: 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C64950" w:rsidRDefault="00C64950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EA0108" w:rsidRP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EA0108" w:rsidRPr="00EA0108" w:rsidRDefault="00347B39" w:rsidP="00EA0108">
      <w:pPr>
        <w:spacing w:after="0" w:line="240" w:lineRule="auto"/>
        <w:jc w:val="center"/>
        <w:rPr>
          <w:rFonts w:ascii="Algerian" w:eastAsia="Times New Roman" w:hAnsi="Algerian" w:cs="Gautami"/>
          <w:sz w:val="48"/>
          <w:szCs w:val="48"/>
        </w:rPr>
      </w:pPr>
      <w:r>
        <w:rPr>
          <w:rFonts w:ascii="Algerian" w:eastAsia="Times New Roman" w:hAnsi="Algerian" w:cs="Gautami"/>
          <w:sz w:val="48"/>
          <w:szCs w:val="48"/>
        </w:rPr>
        <w:t>2015</w:t>
      </w:r>
      <w:r w:rsidR="00EA0108" w:rsidRPr="00EA0108">
        <w:rPr>
          <w:rFonts w:ascii="Algerian" w:eastAsia="Times New Roman" w:hAnsi="Algerian" w:cs="Gautami"/>
          <w:sz w:val="48"/>
          <w:szCs w:val="48"/>
        </w:rPr>
        <w:t xml:space="preserve"> OACP </w:t>
      </w:r>
      <w:r w:rsidR="00EF6FA9">
        <w:rPr>
          <w:rFonts w:ascii="Algerian" w:eastAsia="Times New Roman" w:hAnsi="Algerian" w:cs="Gautami"/>
          <w:sz w:val="48"/>
          <w:szCs w:val="48"/>
        </w:rPr>
        <w:t xml:space="preserve">Annual </w:t>
      </w:r>
      <w:r w:rsidR="00EA0108" w:rsidRPr="00EA0108">
        <w:rPr>
          <w:rFonts w:ascii="Algerian" w:eastAsia="Times New Roman" w:hAnsi="Algerian" w:cs="Gautami"/>
          <w:sz w:val="48"/>
          <w:szCs w:val="48"/>
        </w:rPr>
        <w:t>CONFERENCE</w:t>
      </w:r>
    </w:p>
    <w:p w:rsidR="00EF6FA9" w:rsidRPr="00EF6FA9" w:rsidRDefault="00EF6FA9" w:rsidP="00EF6FA9">
      <w:pPr>
        <w:spacing w:after="0" w:line="240" w:lineRule="auto"/>
        <w:jc w:val="center"/>
        <w:rPr>
          <w:rFonts w:ascii="Palatino Linotype" w:eastAsia="Times New Roman" w:hAnsi="Palatino Linotype" w:cs="Gautami"/>
          <w:sz w:val="40"/>
          <w:szCs w:val="40"/>
        </w:rPr>
      </w:pPr>
      <w:r w:rsidRPr="00EF6FA9">
        <w:rPr>
          <w:rFonts w:ascii="Palatino Linotype" w:eastAsia="Times New Roman" w:hAnsi="Palatino Linotype" w:cs="Gautami"/>
          <w:sz w:val="40"/>
          <w:szCs w:val="40"/>
        </w:rPr>
        <w:t xml:space="preserve">APRIL </w:t>
      </w:r>
      <w:r w:rsidR="00347B39">
        <w:rPr>
          <w:rFonts w:ascii="Palatino Linotype" w:eastAsia="Times New Roman" w:hAnsi="Palatino Linotype" w:cs="Gautami"/>
          <w:sz w:val="40"/>
          <w:szCs w:val="40"/>
        </w:rPr>
        <w:t>14-16th, 2015</w:t>
      </w:r>
    </w:p>
    <w:p w:rsidR="00EF6FA9" w:rsidRPr="00EF6FA9" w:rsidRDefault="00EF6FA9" w:rsidP="00EF6FA9">
      <w:pPr>
        <w:spacing w:after="0" w:line="240" w:lineRule="auto"/>
        <w:jc w:val="center"/>
        <w:rPr>
          <w:rFonts w:ascii="Palatino Linotype" w:eastAsia="Times New Roman" w:hAnsi="Palatino Linotype" w:cs="Gautami"/>
          <w:sz w:val="40"/>
          <w:szCs w:val="40"/>
        </w:rPr>
      </w:pPr>
      <w:r w:rsidRPr="00EF6FA9">
        <w:rPr>
          <w:rFonts w:ascii="Palatino Linotype" w:eastAsia="Times New Roman" w:hAnsi="Palatino Linotype" w:cs="Gautami"/>
          <w:sz w:val="40"/>
          <w:szCs w:val="40"/>
        </w:rPr>
        <w:t>The Riverhouse ~ Bend, OR</w:t>
      </w:r>
    </w:p>
    <w:p w:rsidR="00EA0108" w:rsidRDefault="00EA0108" w:rsidP="00EA0108">
      <w:pPr>
        <w:spacing w:after="0" w:line="240" w:lineRule="auto"/>
        <w:rPr>
          <w:rFonts w:ascii="Palatino Linotype" w:eastAsia="Times New Roman" w:hAnsi="Palatino Linotype" w:cs="Gautami"/>
          <w:sz w:val="40"/>
          <w:szCs w:val="40"/>
        </w:rPr>
      </w:pPr>
      <w:r w:rsidRPr="00EA0108">
        <w:rPr>
          <w:rFonts w:ascii="Palatino Linotype" w:eastAsia="Times New Roman" w:hAnsi="Palatino Linotype" w:cs="Gautami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9E8A49" wp14:editId="242C01DD">
                <wp:simplePos x="0" y="0"/>
                <wp:positionH relativeFrom="column">
                  <wp:posOffset>1190625</wp:posOffset>
                </wp:positionH>
                <wp:positionV relativeFrom="paragraph">
                  <wp:posOffset>208280</wp:posOffset>
                </wp:positionV>
                <wp:extent cx="35623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75pt;margin-top:16.4pt;width:280.5pt;height:4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" fillcolor="#4f81bd [3204]" strokecolor="#243f60 [1604]" strokeweight="2pt"/>
            </w:pict>
          </mc:Fallback>
        </mc:AlternateContent>
      </w:r>
    </w:p>
    <w:p w:rsidR="00EA0108" w:rsidRPr="00EA0108" w:rsidRDefault="007F3B13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40"/>
          <w:szCs w:val="40"/>
        </w:rPr>
      </w:pPr>
      <w:r>
        <w:rPr>
          <w:rFonts w:ascii="Palatino Linotype" w:eastAsia="Times New Roman" w:hAnsi="Palatino Linotype" w:cs="Gautami"/>
          <w:sz w:val="40"/>
          <w:szCs w:val="40"/>
        </w:rPr>
        <w:t>Vendor Lodging Information</w:t>
      </w:r>
    </w:p>
    <w:p w:rsid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16"/>
          <w:szCs w:val="16"/>
        </w:rPr>
      </w:pPr>
    </w:p>
    <w:p w:rsidR="007F3B13" w:rsidRDefault="007F3B13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16"/>
          <w:szCs w:val="16"/>
        </w:rPr>
      </w:pPr>
    </w:p>
    <w:p w:rsidR="007F3B13" w:rsidRDefault="007F3B13" w:rsidP="00C64950">
      <w:pPr>
        <w:spacing w:after="0" w:line="240" w:lineRule="auto"/>
        <w:jc w:val="both"/>
        <w:rPr>
          <w:rFonts w:ascii="Palatino Linotype" w:eastAsia="Times New Roman" w:hAnsi="Palatino Linotype" w:cs="Gautami"/>
          <w:sz w:val="24"/>
          <w:szCs w:val="24"/>
        </w:rPr>
      </w:pPr>
    </w:p>
    <w:p w:rsidR="007F3B13" w:rsidRDefault="007F3B13" w:rsidP="00C64950">
      <w:pPr>
        <w:spacing w:after="0" w:line="240" w:lineRule="auto"/>
        <w:jc w:val="both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>Contact the Riverhouse to make your reservation. Their number is 1-800-547-3928. Please indicate that you are participating in the OACP conference as a vendor.</w:t>
      </w:r>
    </w:p>
    <w:p w:rsidR="007F3B13" w:rsidRDefault="007F3B13" w:rsidP="00C64950">
      <w:pPr>
        <w:spacing w:after="0" w:line="240" w:lineRule="auto"/>
        <w:jc w:val="both"/>
        <w:rPr>
          <w:rFonts w:ascii="Palatino Linotype" w:eastAsia="Times New Roman" w:hAnsi="Palatino Linotype" w:cs="Gautami"/>
          <w:sz w:val="24"/>
          <w:szCs w:val="24"/>
        </w:rPr>
      </w:pPr>
    </w:p>
    <w:p w:rsidR="007F3B13" w:rsidRDefault="00C64950" w:rsidP="00C64950">
      <w:pPr>
        <w:spacing w:after="0" w:line="240" w:lineRule="auto"/>
        <w:jc w:val="both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 xml:space="preserve">Because we are encouraging </w:t>
      </w:r>
      <w:r w:rsidR="007F3B13">
        <w:rPr>
          <w:rFonts w:ascii="Palatino Linotype" w:eastAsia="Times New Roman" w:hAnsi="Palatino Linotype" w:cs="Gautami"/>
          <w:sz w:val="24"/>
          <w:szCs w:val="24"/>
        </w:rPr>
        <w:t>vendors to stay at the Riverhouse</w:t>
      </w:r>
      <w:r>
        <w:rPr>
          <w:rFonts w:ascii="Palatino Linotype" w:eastAsia="Times New Roman" w:hAnsi="Palatino Linotype" w:cs="Gautami"/>
          <w:sz w:val="24"/>
          <w:szCs w:val="24"/>
        </w:rPr>
        <w:t xml:space="preserve"> in order to help us meet our contracted room night requirement (having combined our Welcome Reception with our Auction, and therefore shortening our conference by one day), we are providing a $50 discount for those who stay at the Riverhouse. When submitting the registration form, you will use the code “Riverhouse50” to reduce the total amount.</w:t>
      </w:r>
    </w:p>
    <w:p w:rsidR="00C64950" w:rsidRDefault="00C64950" w:rsidP="00C64950">
      <w:pPr>
        <w:spacing w:after="0" w:line="240" w:lineRule="auto"/>
        <w:jc w:val="both"/>
        <w:rPr>
          <w:rFonts w:ascii="Palatino Linotype" w:eastAsia="Times New Roman" w:hAnsi="Palatino Linotype" w:cs="Gautami"/>
          <w:sz w:val="24"/>
          <w:szCs w:val="24"/>
        </w:rPr>
      </w:pPr>
    </w:p>
    <w:p w:rsidR="00C64950" w:rsidRDefault="00C64950" w:rsidP="00C64950">
      <w:pPr>
        <w:spacing w:after="0" w:line="240" w:lineRule="auto"/>
        <w:jc w:val="both"/>
        <w:rPr>
          <w:rFonts w:ascii="Palatino Linotype" w:eastAsia="Times New Roman" w:hAnsi="Palatino Linotype" w:cs="Gautami"/>
          <w:sz w:val="24"/>
          <w:szCs w:val="24"/>
        </w:rPr>
      </w:pPr>
      <w:r w:rsidRPr="00C64950">
        <w:rPr>
          <w:rFonts w:ascii="Palatino Linotype" w:eastAsia="Times New Roman" w:hAnsi="Palatino Linotype" w:cs="Gautami"/>
          <w:sz w:val="24"/>
          <w:szCs w:val="24"/>
        </w:rPr>
        <w:t>The Chiefs’ Association has negotiated special rates beginning at $103 for non-river view rooms (plus tax), and $123 for river view rooms (plus tax).</w:t>
      </w:r>
      <w:r>
        <w:rPr>
          <w:rFonts w:ascii="Palatino Linotype" w:eastAsia="Times New Roman" w:hAnsi="Palatino Linotype" w:cs="Gautami"/>
          <w:sz w:val="24"/>
          <w:szCs w:val="24"/>
        </w:rPr>
        <w:t xml:space="preserve"> Room release date for the conference is April 1</w:t>
      </w:r>
      <w:r w:rsidRPr="00C64950">
        <w:rPr>
          <w:rFonts w:ascii="Palatino Linotype" w:eastAsia="Times New Roman" w:hAnsi="Palatino Linotype" w:cs="Gautami"/>
          <w:sz w:val="24"/>
          <w:szCs w:val="24"/>
          <w:vertAlign w:val="superscript"/>
        </w:rPr>
        <w:t>st</w:t>
      </w:r>
      <w:r>
        <w:rPr>
          <w:rFonts w:ascii="Palatino Linotype" w:eastAsia="Times New Roman" w:hAnsi="Palatino Linotype" w:cs="Gautami"/>
          <w:sz w:val="24"/>
          <w:szCs w:val="24"/>
        </w:rPr>
        <w:t>, 2015.</w:t>
      </w:r>
    </w:p>
    <w:p w:rsidR="00C64950" w:rsidRDefault="00C64950" w:rsidP="00C64950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</w:p>
    <w:p w:rsidR="00B667C5" w:rsidRDefault="00B667C5" w:rsidP="00C64950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 xml:space="preserve">If you have questions about this, please contact Marie Campbell at </w:t>
      </w:r>
      <w:hyperlink r:id="rId7" w:history="1">
        <w:r w:rsidRPr="00CE04CF">
          <w:rPr>
            <w:rStyle w:val="Hyperlink"/>
            <w:rFonts w:ascii="Palatino Linotype" w:eastAsia="Times New Roman" w:hAnsi="Palatino Linotype" w:cs="Gautami"/>
            <w:sz w:val="24"/>
            <w:szCs w:val="24"/>
          </w:rPr>
          <w:t>marie@victorygrp.com</w:t>
        </w:r>
      </w:hyperlink>
      <w:r>
        <w:rPr>
          <w:rFonts w:ascii="Palatino Linotype" w:eastAsia="Times New Roman" w:hAnsi="Palatino Linotype" w:cs="Gautami"/>
          <w:sz w:val="24"/>
          <w:szCs w:val="24"/>
        </w:rPr>
        <w:t xml:space="preserve">, or by phone at </w:t>
      </w:r>
      <w:bookmarkStart w:id="0" w:name="_GoBack"/>
      <w:bookmarkEnd w:id="0"/>
      <w:r>
        <w:rPr>
          <w:rFonts w:ascii="Palatino Linotype" w:eastAsia="Times New Roman" w:hAnsi="Palatino Linotype" w:cs="Gautami"/>
          <w:sz w:val="24"/>
          <w:szCs w:val="24"/>
        </w:rPr>
        <w:t>503-315-1411.</w:t>
      </w:r>
    </w:p>
    <w:p w:rsidR="00C64950" w:rsidRPr="007F3B13" w:rsidRDefault="00C64950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</w:p>
    <w:sectPr w:rsidR="00C64950" w:rsidRPr="007F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2B3"/>
    <w:multiLevelType w:val="hybridMultilevel"/>
    <w:tmpl w:val="4508C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1"/>
    <w:rsid w:val="000E0A61"/>
    <w:rsid w:val="00257CBE"/>
    <w:rsid w:val="00347B39"/>
    <w:rsid w:val="004A7D79"/>
    <w:rsid w:val="005B7C47"/>
    <w:rsid w:val="007F0004"/>
    <w:rsid w:val="007F3B13"/>
    <w:rsid w:val="008B297E"/>
    <w:rsid w:val="00AF2103"/>
    <w:rsid w:val="00B523A1"/>
    <w:rsid w:val="00B667C5"/>
    <w:rsid w:val="00BA070F"/>
    <w:rsid w:val="00C64950"/>
    <w:rsid w:val="00DA2735"/>
    <w:rsid w:val="00EA0108"/>
    <w:rsid w:val="00EF6FA9"/>
    <w:rsid w:val="00F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e@victoryg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Campbell</dc:creator>
  <cp:lastModifiedBy>Marie Campbell</cp:lastModifiedBy>
  <cp:revision>4</cp:revision>
  <dcterms:created xsi:type="dcterms:W3CDTF">2015-02-09T21:25:00Z</dcterms:created>
  <dcterms:modified xsi:type="dcterms:W3CDTF">2015-02-10T19:19:00Z</dcterms:modified>
</cp:coreProperties>
</file>